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8B5B14">
        <w:rPr>
          <w:rFonts w:asciiTheme="minorEastAsia" w:eastAsiaTheme="minorEastAsia" w:hAnsiTheme="minorEastAsia" w:hint="eastAsia"/>
        </w:rPr>
        <w:t>個人情報保護の教育の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063397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7526EB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063397" w:rsidRDefault="00186348" w:rsidP="00186348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個人情報保護意識向上のために</w:t>
            </w:r>
            <w:r w:rsidR="00A90312" w:rsidRPr="00063397">
              <w:rPr>
                <w:rFonts w:asciiTheme="minorEastAsia" w:eastAsiaTheme="minorEastAsia" w:hAnsiTheme="minorEastAsia" w:hint="eastAsia"/>
              </w:rPr>
              <w:t>個人情報</w:t>
            </w:r>
            <w:r w:rsidRPr="00063397">
              <w:rPr>
                <w:rFonts w:asciiTheme="minorEastAsia" w:eastAsiaTheme="minorEastAsia" w:hAnsiTheme="minorEastAsia" w:hint="eastAsia"/>
              </w:rPr>
              <w:t>保護士認定試験を受験する件について</w:t>
            </w:r>
          </w:p>
        </w:tc>
      </w:tr>
      <w:tr w:rsidR="00952FA4" w:rsidRPr="00063397" w:rsidTr="001D6AF8">
        <w:trPr>
          <w:cantSplit/>
          <w:trHeight w:hRule="exact" w:val="2990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B11815" w:rsidRDefault="00CD107C">
            <w:pPr>
              <w:ind w:left="426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="007526E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（</w:t>
            </w:r>
            <w:bookmarkStart w:id="0" w:name="_GoBack"/>
            <w:r w:rsidR="007526EB">
              <w:rPr>
                <w:rFonts w:asciiTheme="minorEastAsia" w:eastAsiaTheme="minorEastAsia" w:hAnsiTheme="minorEastAsia"/>
              </w:rPr>
              <w:fldChar w:fldCharType="begin"/>
            </w:r>
            <w:r w:rsidR="007526EB">
              <w:rPr>
                <w:rFonts w:asciiTheme="minorEastAsia" w:eastAsiaTheme="minorEastAsia" w:hAnsiTheme="minorEastAsia"/>
              </w:rPr>
              <w:instrText xml:space="preserve"> HYPERLINK "</w:instrText>
            </w:r>
            <w:r w:rsidR="007526EB" w:rsidRPr="007526EB">
              <w:rPr>
                <w:rFonts w:asciiTheme="minorEastAsia" w:eastAsiaTheme="minorEastAsia" w:hAnsiTheme="minorEastAsia"/>
              </w:rPr>
              <w:instrText>http</w:instrText>
            </w:r>
            <w:r w:rsidR="007526EB" w:rsidRPr="007526EB">
              <w:rPr>
                <w:rFonts w:asciiTheme="minorEastAsia" w:eastAsiaTheme="minorEastAsia" w:hAnsiTheme="minorEastAsia" w:hint="eastAsia"/>
              </w:rPr>
              <w:instrText>s</w:instrText>
            </w:r>
            <w:r w:rsidR="007526EB" w:rsidRPr="007526EB">
              <w:rPr>
                <w:rFonts w:asciiTheme="minorEastAsia" w:eastAsiaTheme="minorEastAsia" w:hAnsiTheme="minorEastAsia"/>
              </w:rPr>
              <w:instrText>://www.joho-gakushu.or.jp/</w:instrText>
            </w:r>
            <w:r w:rsidR="007526EB">
              <w:rPr>
                <w:rFonts w:asciiTheme="minorEastAsia" w:eastAsiaTheme="minorEastAsia" w:hAnsiTheme="minorEastAsia"/>
              </w:rPr>
              <w:instrText xml:space="preserve">" </w:instrText>
            </w:r>
            <w:r w:rsidR="007526EB">
              <w:rPr>
                <w:rFonts w:asciiTheme="minorEastAsia" w:eastAsiaTheme="minorEastAsia" w:hAnsiTheme="minorEastAsia"/>
              </w:rPr>
              <w:fldChar w:fldCharType="separate"/>
            </w:r>
            <w:r w:rsidR="007526EB" w:rsidRPr="00496642">
              <w:rPr>
                <w:rStyle w:val="a9"/>
                <w:rFonts w:asciiTheme="minorEastAsia" w:eastAsiaTheme="minorEastAsia" w:hAnsiTheme="minorEastAsia"/>
              </w:rPr>
              <w:t>http</w:t>
            </w:r>
            <w:r w:rsidR="007526EB" w:rsidRPr="00496642">
              <w:rPr>
                <w:rStyle w:val="a9"/>
                <w:rFonts w:asciiTheme="minorEastAsia" w:eastAsiaTheme="minorEastAsia" w:hAnsiTheme="minorEastAsia" w:hint="eastAsia"/>
              </w:rPr>
              <w:t>s</w:t>
            </w:r>
            <w:r w:rsidR="007526EB" w:rsidRPr="00496642">
              <w:rPr>
                <w:rStyle w:val="a9"/>
                <w:rFonts w:asciiTheme="minorEastAsia" w:eastAsiaTheme="minorEastAsia" w:hAnsiTheme="minorEastAsia"/>
              </w:rPr>
              <w:t>://www.joho-gakushu.or.jp/</w:t>
            </w:r>
            <w:r w:rsidR="007526EB">
              <w:rPr>
                <w:rFonts w:asciiTheme="minorEastAsia" w:eastAsiaTheme="minorEastAsia" w:hAnsiTheme="minorEastAsia"/>
              </w:rPr>
              <w:fldChar w:fldCharType="end"/>
            </w:r>
            <w:bookmarkEnd w:id="0"/>
            <w:r w:rsidR="00613419" w:rsidRPr="00B11815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1D6AF8" w:rsidRPr="00B11815" w:rsidRDefault="001D6AF8" w:rsidP="001D6AF8">
            <w:pPr>
              <w:ind w:leftChars="109" w:left="229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個人情報保護士認定試験は、「個人情報保護法」および「マイナンバー法」に基づき、</w:t>
            </w:r>
            <w:r w:rsidR="004E3FF0">
              <w:rPr>
                <w:rFonts w:asciiTheme="minorEastAsia" w:eastAsiaTheme="minorEastAsia" w:hAnsiTheme="minorEastAsia" w:hint="eastAsia"/>
                <w:szCs w:val="21"/>
              </w:rPr>
              <w:t>個人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情報の安全確保、保護対策などを体系的に理解し、実際の業務に支障なく管理、活用を行える知識能力を有することを認定する試験です。</w:t>
            </w:r>
          </w:p>
          <w:p w:rsidR="001D6AF8" w:rsidRPr="00B11815" w:rsidRDefault="001D6AF8" w:rsidP="001D6AF8">
            <w:pPr>
              <w:ind w:leftChars="109" w:left="229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本試験は平成17年の個人情報保護法が施行された年にスタートしており、約13年間で51回（平成30年6月現在）の開催を重ね、20万人以上が受験しています。本試験の合格者数は6万人を超え、企業内の個人情報保護に関する資格のスタンダードとなっています。</w:t>
            </w:r>
          </w:p>
          <w:p w:rsidR="00952FA4" w:rsidRPr="00B11815" w:rsidRDefault="001D6AF8" w:rsidP="001D6AF8">
            <w:pPr>
              <w:ind w:leftChars="109" w:left="229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また、改正個人情報保護法が平成29年5月から全ての事業者に適用となり、「個人情報保護」というワードは、現代社会においては企業にとって避けて通れないテーマとなっていることからも、「個人情報保護」を学ぶうえで最適の試験です。</w:t>
            </w:r>
          </w:p>
        </w:tc>
      </w:tr>
      <w:tr w:rsidR="00952FA4" w:rsidRPr="00063397" w:rsidTr="00063397">
        <w:trPr>
          <w:cantSplit/>
          <w:trHeight w:hRule="exact" w:val="1479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EA4E6D" w:rsidRPr="00B11815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EA4E6D" w:rsidRPr="00B11815">
              <w:rPr>
                <w:rFonts w:asciiTheme="minorEastAsia" w:eastAsiaTheme="minorEastAsia" w:hAnsiTheme="minorEastAsia" w:hint="eastAsia"/>
              </w:rPr>
              <w:t>顧客・取引先からの個人情報に関する信用の拡大</w:t>
            </w:r>
            <w:r w:rsidR="00117347" w:rsidRPr="00B11815">
              <w:rPr>
                <w:rFonts w:asciiTheme="minorEastAsia" w:eastAsiaTheme="minorEastAsia" w:hAnsiTheme="minorEastAsia" w:hint="eastAsia"/>
              </w:rPr>
              <w:t>を図る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B11815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EA4E6D" w:rsidRPr="00B11815">
              <w:rPr>
                <w:rFonts w:asciiTheme="minorEastAsia" w:eastAsiaTheme="minorEastAsia" w:hAnsiTheme="minorEastAsia" w:cs="Century" w:hint="eastAsia"/>
              </w:rPr>
              <w:t>個人情報</w:t>
            </w:r>
            <w:r w:rsidR="00117347" w:rsidRPr="00B11815">
              <w:rPr>
                <w:rFonts w:asciiTheme="minorEastAsia" w:eastAsiaTheme="minorEastAsia" w:hAnsiTheme="minorEastAsia" w:cs="Century" w:hint="eastAsia"/>
              </w:rPr>
              <w:t>の</w:t>
            </w:r>
            <w:r w:rsidR="00EA4E6D" w:rsidRPr="00B11815">
              <w:rPr>
                <w:rFonts w:asciiTheme="minorEastAsia" w:eastAsiaTheme="minorEastAsia" w:hAnsiTheme="minorEastAsia" w:cs="Century" w:hint="eastAsia"/>
              </w:rPr>
              <w:t>保護</w:t>
            </w:r>
            <w:r w:rsidR="00117347" w:rsidRPr="00B11815">
              <w:rPr>
                <w:rFonts w:asciiTheme="minorEastAsia" w:eastAsiaTheme="minorEastAsia" w:hAnsiTheme="minorEastAsia" w:cs="Century" w:hint="eastAsia"/>
              </w:rPr>
              <w:t>に関する</w:t>
            </w:r>
            <w:r w:rsidR="006A7154" w:rsidRPr="00B11815">
              <w:rPr>
                <w:rFonts w:asciiTheme="minorEastAsia" w:eastAsiaTheme="minorEastAsia" w:hAnsiTheme="minorEastAsia" w:cs="Century" w:hint="eastAsia"/>
              </w:rPr>
              <w:t>現場の意識を強化</w:t>
            </w:r>
            <w:r w:rsidR="00117347" w:rsidRPr="00B11815">
              <w:rPr>
                <w:rFonts w:asciiTheme="minorEastAsia" w:eastAsiaTheme="minorEastAsia" w:hAnsiTheme="minorEastAsia" w:hint="eastAsia"/>
              </w:rPr>
              <w:t>する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B11815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社内の情報セキュリティや情報管理体制を強化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して漏洩事故を防止する。</w:t>
            </w:r>
          </w:p>
          <w:p w:rsidR="00EA4E6D" w:rsidRPr="00B11815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B11815">
              <w:rPr>
                <w:rFonts w:asciiTheme="minorEastAsia" w:eastAsiaTheme="minorEastAsia" w:hAnsiTheme="minorEastAsia" w:hint="eastAsia"/>
              </w:rPr>
              <w:t>資格保持者の</w:t>
            </w:r>
            <w:r w:rsidR="000C5D7B" w:rsidRPr="00B11815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B11815">
              <w:rPr>
                <w:rFonts w:asciiTheme="minorEastAsia" w:eastAsiaTheme="minorEastAsia" w:hAnsiTheme="minorEastAsia" w:hint="eastAsia"/>
              </w:rPr>
              <w:t>存在で</w:t>
            </w:r>
            <w:r w:rsidR="00117347" w:rsidRPr="00B11815">
              <w:rPr>
                <w:rFonts w:asciiTheme="minorEastAsia" w:eastAsiaTheme="minorEastAsia" w:hAnsiTheme="minorEastAsia" w:hint="eastAsia"/>
              </w:rPr>
              <w:t>個人情報保護に関して積極的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B11815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B11815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B11815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B11815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B11815" w:rsidRDefault="00050BCB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全国の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25程の</w:t>
            </w:r>
            <w:r w:rsidRPr="00B11815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B11815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Pr="00063397">
              <w:rPr>
                <w:rFonts w:asciiTheme="minorEastAsia" w:eastAsiaTheme="minorEastAsia" w:hAnsiTheme="minorEastAsia" w:hint="eastAsia"/>
              </w:rPr>
              <w:t>10,000円、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1575C6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140ABD">
              <w:rPr>
                <w:rFonts w:asciiTheme="minorEastAsia" w:eastAsiaTheme="minorEastAsia" w:hAnsiTheme="minorEastAsia" w:hint="eastAsia"/>
              </w:rPr>
              <w:t>冊</w:t>
            </w:r>
            <w:r w:rsidRPr="00063397">
              <w:rPr>
                <w:rFonts w:asciiTheme="minorEastAsia" w:eastAsiaTheme="minorEastAsia" w:hAnsiTheme="minorEastAsia" w:hint="eastAsia"/>
              </w:rPr>
              <w:t>2,</w:t>
            </w:r>
            <w:r w:rsidR="006D7FC9">
              <w:rPr>
                <w:rFonts w:asciiTheme="minorEastAsia" w:eastAsiaTheme="minorEastAsia" w:hAnsiTheme="minorEastAsia" w:hint="eastAsia"/>
              </w:rPr>
              <w:t>2</w:t>
            </w:r>
            <w:r w:rsidRPr="00063397">
              <w:rPr>
                <w:rFonts w:asciiTheme="minorEastAsia" w:eastAsiaTheme="minorEastAsia" w:hAnsiTheme="minorEastAsia" w:hint="eastAsia"/>
              </w:rPr>
              <w:t>00円。実物形式過去問題</w:t>
            </w:r>
            <w:r w:rsidR="001575C6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個人情報保護士認定試験の開催団体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個人情報保護士認定試験の試験内容、受験者数及び合格者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個人情報保護士認定試験の募集チラシ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個人情報保護士認定試験の問題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7526E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DB" w:rsidRDefault="007362DB" w:rsidP="00D87881">
      <w:r>
        <w:separator/>
      </w:r>
    </w:p>
  </w:endnote>
  <w:endnote w:type="continuationSeparator" w:id="0">
    <w:p w:rsidR="007362DB" w:rsidRDefault="007362DB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DB" w:rsidRDefault="007362DB" w:rsidP="00D87881">
      <w:r>
        <w:separator/>
      </w:r>
    </w:p>
  </w:footnote>
  <w:footnote w:type="continuationSeparator" w:id="0">
    <w:p w:rsidR="007362DB" w:rsidRDefault="007362DB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50BCB"/>
    <w:rsid w:val="00063397"/>
    <w:rsid w:val="000C5D7B"/>
    <w:rsid w:val="00117347"/>
    <w:rsid w:val="00140ABD"/>
    <w:rsid w:val="001575C6"/>
    <w:rsid w:val="00186348"/>
    <w:rsid w:val="001D6AF8"/>
    <w:rsid w:val="001F614B"/>
    <w:rsid w:val="00215248"/>
    <w:rsid w:val="002673F0"/>
    <w:rsid w:val="002D757A"/>
    <w:rsid w:val="003E18EC"/>
    <w:rsid w:val="0042519E"/>
    <w:rsid w:val="004B00A5"/>
    <w:rsid w:val="004E3FF0"/>
    <w:rsid w:val="005172A3"/>
    <w:rsid w:val="005E57B6"/>
    <w:rsid w:val="00613419"/>
    <w:rsid w:val="00636625"/>
    <w:rsid w:val="006A7154"/>
    <w:rsid w:val="006D7FC9"/>
    <w:rsid w:val="00702FB3"/>
    <w:rsid w:val="007362DB"/>
    <w:rsid w:val="007526EB"/>
    <w:rsid w:val="007D59EE"/>
    <w:rsid w:val="00850B08"/>
    <w:rsid w:val="0088180E"/>
    <w:rsid w:val="008B5B14"/>
    <w:rsid w:val="00952FA4"/>
    <w:rsid w:val="009652FE"/>
    <w:rsid w:val="009936B8"/>
    <w:rsid w:val="009B442F"/>
    <w:rsid w:val="00A04286"/>
    <w:rsid w:val="00A1143B"/>
    <w:rsid w:val="00A2409E"/>
    <w:rsid w:val="00A36A2C"/>
    <w:rsid w:val="00A90312"/>
    <w:rsid w:val="00AC4910"/>
    <w:rsid w:val="00B11815"/>
    <w:rsid w:val="00B5143E"/>
    <w:rsid w:val="00B9345A"/>
    <w:rsid w:val="00BD1A75"/>
    <w:rsid w:val="00BD4573"/>
    <w:rsid w:val="00C25DAE"/>
    <w:rsid w:val="00C35066"/>
    <w:rsid w:val="00C9326F"/>
    <w:rsid w:val="00CB5D4E"/>
    <w:rsid w:val="00CC34F6"/>
    <w:rsid w:val="00CD107C"/>
    <w:rsid w:val="00CE7F0C"/>
    <w:rsid w:val="00D4443B"/>
    <w:rsid w:val="00D87881"/>
    <w:rsid w:val="00E41938"/>
    <w:rsid w:val="00E95AE3"/>
    <w:rsid w:val="00EA3F28"/>
    <w:rsid w:val="00EA4E6D"/>
    <w:rsid w:val="00EC4A45"/>
    <w:rsid w:val="00F64DE9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4</cp:revision>
  <cp:lastPrinted>2018-07-13T06:17:00Z</cp:lastPrinted>
  <dcterms:created xsi:type="dcterms:W3CDTF">2018-07-13T06:18:00Z</dcterms:created>
  <dcterms:modified xsi:type="dcterms:W3CDTF">2019-09-02T03:55:00Z</dcterms:modified>
</cp:coreProperties>
</file>