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9B7C4" w14:textId="77777777"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14:paraId="688BACC6" w14:textId="77777777"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14:paraId="51700836" w14:textId="77777777"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14:paraId="51F7E91E" w14:textId="77777777"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CC014A">
        <w:rPr>
          <w:rFonts w:asciiTheme="minorEastAsia" w:eastAsiaTheme="minorEastAsia" w:hAnsiTheme="minorEastAsia" w:hint="eastAsia"/>
        </w:rPr>
        <w:t>働き方改革</w:t>
      </w:r>
      <w:r w:rsidR="008B5B14">
        <w:rPr>
          <w:rFonts w:asciiTheme="minorEastAsia" w:eastAsiaTheme="minorEastAsia" w:hAnsiTheme="minorEastAsia" w:hint="eastAsia"/>
        </w:rPr>
        <w:t>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14:paraId="2EB6F426" w14:textId="77777777" w:rsidR="00063397" w:rsidRPr="00CC014A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14:paraId="3BC11DE3" w14:textId="77777777"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9553F0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14:paraId="7AA45D43" w14:textId="77777777"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14:paraId="3F7034F4" w14:textId="77777777" w:rsidTr="00CC014A">
        <w:trPr>
          <w:cantSplit/>
          <w:trHeight w:hRule="exact" w:val="660"/>
        </w:trPr>
        <w:tc>
          <w:tcPr>
            <w:tcW w:w="1277" w:type="dxa"/>
            <w:shd w:val="pct5" w:color="auto" w:fill="FFFFFF"/>
            <w:vAlign w:val="center"/>
          </w:tcPr>
          <w:p w14:paraId="0E9ABE57" w14:textId="77777777"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14:paraId="6184D1C4" w14:textId="1E67DD5B" w:rsidR="00952FA4" w:rsidRPr="00013C5D" w:rsidRDefault="00CC014A" w:rsidP="00F25545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働き方改革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法案の施行で何が変わるか</w:t>
            </w:r>
            <w:r w:rsidRPr="00013C5D">
              <w:rPr>
                <w:rFonts w:asciiTheme="minorEastAsia" w:eastAsiaTheme="minorEastAsia" w:hAnsiTheme="minorEastAsia" w:hint="eastAsia"/>
              </w:rPr>
              <w:t>、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今後どの様な働き方をする</w:t>
            </w:r>
            <w:r w:rsidRPr="00013C5D">
              <w:rPr>
                <w:rFonts w:asciiTheme="minorEastAsia" w:eastAsiaTheme="minorEastAsia" w:hAnsiTheme="minorEastAsia" w:hint="eastAsia"/>
              </w:rPr>
              <w:t>べきかを学ぶ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「</w:t>
            </w:r>
            <w:r w:rsidRPr="00013C5D">
              <w:rPr>
                <w:rFonts w:asciiTheme="minorEastAsia" w:eastAsiaTheme="minorEastAsia" w:hAnsiTheme="minorEastAsia" w:hint="eastAsia"/>
              </w:rPr>
              <w:t>ワーク</w:t>
            </w:r>
            <w:r w:rsidR="00F90FF3">
              <w:rPr>
                <w:rFonts w:asciiTheme="minorEastAsia" w:eastAsiaTheme="minorEastAsia" w:hAnsiTheme="minorEastAsia" w:hint="eastAsia"/>
              </w:rPr>
              <w:t>ライフ・</w:t>
            </w:r>
            <w:r w:rsidRPr="00013C5D">
              <w:rPr>
                <w:rFonts w:asciiTheme="minorEastAsia" w:eastAsiaTheme="minorEastAsia" w:hAnsiTheme="minorEastAsia" w:hint="eastAsia"/>
              </w:rPr>
              <w:t>コーディネーター認定試験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」</w:t>
            </w:r>
            <w:r w:rsidRPr="00013C5D">
              <w:rPr>
                <w:rFonts w:asciiTheme="minorEastAsia" w:eastAsiaTheme="minorEastAsia" w:hAnsiTheme="minorEastAsia" w:hint="eastAsia"/>
              </w:rPr>
              <w:t>を</w:t>
            </w:r>
            <w:r w:rsidR="00186348" w:rsidRPr="00013C5D">
              <w:rPr>
                <w:rFonts w:asciiTheme="minorEastAsia" w:eastAsiaTheme="minorEastAsia" w:hAnsiTheme="minorEastAsia" w:hint="eastAsia"/>
              </w:rPr>
              <w:t>受験する件について</w:t>
            </w:r>
          </w:p>
        </w:tc>
      </w:tr>
      <w:tr w:rsidR="00952FA4" w:rsidRPr="00063397" w14:paraId="6330DA9C" w14:textId="77777777" w:rsidTr="00F25545">
        <w:trPr>
          <w:cantSplit/>
          <w:trHeight w:hRule="exact" w:val="3263"/>
        </w:trPr>
        <w:tc>
          <w:tcPr>
            <w:tcW w:w="1277" w:type="dxa"/>
            <w:shd w:val="pct5" w:color="auto" w:fill="FFFFFF"/>
          </w:tcPr>
          <w:p w14:paraId="4EAC4BEE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14:paraId="42E9DAC1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2079EA2B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0019351D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62174391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31880E0F" w14:textId="77777777"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14:paraId="4B902AA4" w14:textId="77777777" w:rsidR="00613419" w:rsidRPr="00013C5D" w:rsidRDefault="00CD107C" w:rsidP="00FE1EC1">
            <w:pPr>
              <w:ind w:firstLine="6"/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013C5D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013C5D">
              <w:rPr>
                <w:rFonts w:asciiTheme="minorEastAsia" w:eastAsiaTheme="minorEastAsia" w:hAnsiTheme="minorEastAsia" w:hint="eastAsia"/>
              </w:rPr>
              <w:t>】</w:t>
            </w:r>
            <w:r w:rsidR="009553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013C5D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9553F0" w:rsidRPr="009D470B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9553F0" w:rsidRPr="009D470B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9553F0" w:rsidRPr="009D470B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013C5D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14:paraId="74C0C392" w14:textId="1EE45C85" w:rsidR="00FE1EC1" w:rsidRPr="00013C5D" w:rsidRDefault="00F90FF3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ワーク</w:t>
            </w:r>
            <w:r>
              <w:rPr>
                <w:rFonts w:asciiTheme="minorEastAsia" w:eastAsiaTheme="minorEastAsia" w:hAnsiTheme="minorEastAsia" w:hint="eastAsia"/>
              </w:rPr>
              <w:t>ライフ・</w:t>
            </w:r>
            <w:r w:rsidRPr="00013C5D">
              <w:rPr>
                <w:rFonts w:asciiTheme="minorEastAsia" w:eastAsiaTheme="minorEastAsia" w:hAnsiTheme="minorEastAsia" w:hint="eastAsia"/>
              </w:rPr>
              <w:t>コーディネーター認定試験</w:t>
            </w:r>
            <w:r w:rsidR="00FE1EC1" w:rsidRPr="00013C5D">
              <w:rPr>
                <w:rFonts w:asciiTheme="minorEastAsia" w:eastAsiaTheme="minorEastAsia" w:hAnsiTheme="minorEastAsia" w:hint="eastAsia"/>
                <w:szCs w:val="21"/>
              </w:rPr>
              <w:t>は「働き方検定」の上級試験となっています。</w:t>
            </w:r>
          </w:p>
          <w:p w14:paraId="221BAAC2" w14:textId="77777777"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「働き方改革」は、少子高齢化、生産年齢人口の減少などを克服するための改革であり、生産性の向上や一億総活躍社会に向けた方策として、同一労働同一賃金、非正規労働者の待遇改善など</w:t>
            </w:r>
            <w:r w:rsidR="006F3DED">
              <w:rPr>
                <w:rFonts w:asciiTheme="minorEastAsia" w:eastAsiaTheme="minorEastAsia" w:hAnsiTheme="minorEastAsia" w:hint="eastAsia"/>
                <w:szCs w:val="21"/>
              </w:rPr>
              <w:t>が盛り込まれて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います。</w:t>
            </w:r>
          </w:p>
          <w:p w14:paraId="1A728B8D" w14:textId="77777777"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本試験では、現状の少子高齢化、生産年齢の減少などを補うためには、生産性の向上を図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らな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ければなりませんが、そのためには「どのような方策が必要か」、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「働き方</w:t>
            </w:r>
            <w:r w:rsidR="00554FD9" w:rsidRPr="00013C5D">
              <w:rPr>
                <w:rFonts w:asciiTheme="minorEastAsia" w:eastAsiaTheme="minorEastAsia" w:hAnsiTheme="minorEastAsia" w:hint="eastAsia"/>
                <w:szCs w:val="21"/>
              </w:rPr>
              <w:t>改革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関連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が施行されるとどうなるか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」などが出題されます。</w:t>
            </w:r>
          </w:p>
          <w:p w14:paraId="3760671B" w14:textId="77777777"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 xml:space="preserve">　この試験は上級クラスで、「働き方改革」を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進める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企業や団体の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社員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に必要な試験です。</w:t>
            </w:r>
          </w:p>
          <w:p w14:paraId="08604A35" w14:textId="62EDCDD8" w:rsidR="00F25545" w:rsidRPr="00013C5D" w:rsidRDefault="00FE1EC1" w:rsidP="0042391C">
            <w:pPr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本試験は、</w:t>
            </w:r>
            <w:r w:rsidR="00F90FF3">
              <w:rPr>
                <w:rFonts w:asciiTheme="minorEastAsia" w:eastAsiaTheme="minorEastAsia" w:hAnsiTheme="minorEastAsia" w:hint="eastAsia"/>
                <w:szCs w:val="21"/>
              </w:rPr>
              <w:t>令和6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90FF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月2</w:t>
            </w:r>
            <w:r w:rsidR="00F90FF3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日に第1回をスタートして、</w:t>
            </w:r>
            <w:r w:rsidR="00F90FF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回（</w:t>
            </w:r>
            <w:r w:rsidR="00F90FF3">
              <w:rPr>
                <w:rFonts w:asciiTheme="minorEastAsia" w:eastAsiaTheme="minorEastAsia" w:hAnsiTheme="minorEastAsia" w:hint="eastAsia"/>
                <w:szCs w:val="21"/>
              </w:rPr>
              <w:t>令和7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90FF3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月現在）開催されており、約3,000人が受験し、約800人が合格しています。</w:t>
            </w:r>
          </w:p>
          <w:p w14:paraId="710B8D19" w14:textId="77777777" w:rsidR="00952FA4" w:rsidRPr="00013C5D" w:rsidRDefault="001D6AF8" w:rsidP="0042391C">
            <w:pPr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42391C" w:rsidRPr="00013C5D">
              <w:rPr>
                <w:rFonts w:asciiTheme="minorEastAsia" w:eastAsiaTheme="minorEastAsia" w:hAnsiTheme="minorEastAsia" w:hint="eastAsia"/>
                <w:szCs w:val="21"/>
              </w:rPr>
              <w:t>働き方改革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」を学ぶうえで最適の試験です。</w:t>
            </w:r>
          </w:p>
        </w:tc>
      </w:tr>
      <w:tr w:rsidR="00952FA4" w:rsidRPr="00063397" w14:paraId="67D76D37" w14:textId="77777777" w:rsidTr="0042391C">
        <w:trPr>
          <w:cantSplit/>
          <w:trHeight w:hRule="exact" w:val="1419"/>
        </w:trPr>
        <w:tc>
          <w:tcPr>
            <w:tcW w:w="1277" w:type="dxa"/>
            <w:shd w:val="pct5" w:color="auto" w:fill="FFFFFF"/>
          </w:tcPr>
          <w:p w14:paraId="643F8D7A" w14:textId="77777777"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7523765B" w14:textId="77777777"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6C80769E" w14:textId="77777777"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14:paraId="17538B74" w14:textId="77777777"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14:paraId="7B19A4F3" w14:textId="77777777" w:rsidR="00554FD9" w:rsidRPr="00013C5D" w:rsidRDefault="00BD4573" w:rsidP="00EA4E6D">
            <w:pPr>
              <w:rPr>
                <w:rFonts w:asciiTheme="minorEastAsia" w:eastAsiaTheme="minorEastAsia" w:hAnsiTheme="minorEastAsia" w:cs="Century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時代の趨勢である「働き方改革」とは何かを理解する。</w:t>
            </w:r>
          </w:p>
          <w:p w14:paraId="21D9E6E1" w14:textId="77777777" w:rsidR="00EA4E6D" w:rsidRPr="00013C5D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AC4910" w:rsidRPr="00013C5D">
              <w:rPr>
                <w:rFonts w:asciiTheme="minorEastAsia" w:eastAsiaTheme="minorEastAsia" w:hAnsiTheme="minorEastAsia" w:cs="Century" w:hint="eastAsia"/>
              </w:rPr>
              <w:t>外部機関の資格を取得することで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自信を持たせ、現場リーダーを養成する。</w:t>
            </w:r>
          </w:p>
          <w:p w14:paraId="3F7B0F18" w14:textId="77777777" w:rsidR="00050BCB" w:rsidRPr="00013C5D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F25545" w:rsidRPr="00013C5D">
              <w:rPr>
                <w:rFonts w:asciiTheme="minorEastAsia" w:eastAsiaTheme="minorEastAsia" w:hAnsiTheme="minorEastAsia" w:cs="Century" w:hint="eastAsia"/>
              </w:rPr>
              <w:t>社員の目標を明確にし、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労働と生産性向上に対する、</w:t>
            </w:r>
            <w:r w:rsidR="00F25545" w:rsidRPr="00013C5D">
              <w:rPr>
                <w:rFonts w:asciiTheme="minorEastAsia" w:eastAsiaTheme="minorEastAsia" w:hAnsiTheme="minorEastAsia" w:cs="Century" w:hint="eastAsia"/>
              </w:rPr>
              <w:t>モチベーションを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高める</w:t>
            </w:r>
            <w:r w:rsidR="006A7154" w:rsidRPr="00013C5D">
              <w:rPr>
                <w:rFonts w:asciiTheme="minorEastAsia" w:eastAsiaTheme="minorEastAsia" w:hAnsiTheme="minorEastAsia" w:hint="eastAsia"/>
              </w:rPr>
              <w:t>。</w:t>
            </w:r>
          </w:p>
          <w:p w14:paraId="6EFEDEE3" w14:textId="77777777" w:rsidR="00EA4E6D" w:rsidRPr="00013C5D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013C5D">
              <w:rPr>
                <w:rFonts w:asciiTheme="minorEastAsia" w:eastAsiaTheme="minorEastAsia" w:hAnsiTheme="minorEastAsia" w:hint="eastAsia"/>
              </w:rPr>
              <w:t>資格保持者の</w:t>
            </w:r>
            <w:r w:rsidR="000C5D7B" w:rsidRPr="00013C5D">
              <w:rPr>
                <w:rFonts w:asciiTheme="minorEastAsia" w:eastAsiaTheme="minorEastAsia" w:hAnsiTheme="minorEastAsia" w:hint="eastAsia"/>
              </w:rPr>
              <w:t>多数の</w:t>
            </w:r>
            <w:r w:rsidR="00EA4E6D" w:rsidRPr="00013C5D">
              <w:rPr>
                <w:rFonts w:asciiTheme="minorEastAsia" w:eastAsiaTheme="minorEastAsia" w:hAnsiTheme="minorEastAsia" w:hint="eastAsia"/>
              </w:rPr>
              <w:t>存在で</w:t>
            </w:r>
            <w:r w:rsidR="00554FD9" w:rsidRPr="00013C5D">
              <w:rPr>
                <w:rFonts w:asciiTheme="minorEastAsia" w:eastAsiaTheme="minorEastAsia" w:hAnsiTheme="minorEastAsia" w:hint="eastAsia"/>
              </w:rPr>
              <w:t>「働き方改革に取り組む」</w:t>
            </w:r>
            <w:r w:rsidR="00117347" w:rsidRPr="00013C5D">
              <w:rPr>
                <w:rFonts w:asciiTheme="minorEastAsia" w:eastAsiaTheme="minorEastAsia" w:hAnsiTheme="minorEastAsia" w:hint="eastAsia"/>
              </w:rPr>
              <w:t>積極的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な</w:t>
            </w:r>
            <w:r w:rsidR="00EA4E6D" w:rsidRPr="00013C5D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013C5D">
              <w:rPr>
                <w:rFonts w:asciiTheme="minorEastAsia" w:eastAsiaTheme="minorEastAsia" w:hAnsiTheme="minorEastAsia" w:hint="eastAsia"/>
              </w:rPr>
              <w:t>。</w:t>
            </w:r>
          </w:p>
          <w:p w14:paraId="42B99C22" w14:textId="77777777" w:rsidR="00050BCB" w:rsidRPr="00013C5D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013C5D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013C5D">
              <w:rPr>
                <w:rFonts w:asciiTheme="minorEastAsia" w:eastAsiaTheme="minorEastAsia" w:hAnsiTheme="minorEastAsia" w:hint="eastAsia"/>
              </w:rPr>
              <w:t>。</w:t>
            </w:r>
          </w:p>
          <w:p w14:paraId="65A78CF5" w14:textId="77777777" w:rsidR="00952FA4" w:rsidRPr="00013C5D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14:paraId="10F0ACD6" w14:textId="7777777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14:paraId="4E85CB7E" w14:textId="77777777"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14:paraId="7DDC8BEB" w14:textId="77777777" w:rsidR="00613419" w:rsidRPr="00013C5D" w:rsidRDefault="00050BCB" w:rsidP="00554FD9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全国の</w:t>
            </w:r>
            <w:r w:rsidR="00554FD9" w:rsidRPr="00013C5D">
              <w:rPr>
                <w:rFonts w:asciiTheme="minorEastAsia" w:eastAsiaTheme="minorEastAsia" w:hAnsiTheme="minorEastAsia" w:hint="eastAsia"/>
              </w:rPr>
              <w:t>15程度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の</w:t>
            </w:r>
            <w:r w:rsidRPr="00013C5D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年間4回開催されていますので、社員の最寄りの会場で1回30名程度ずつ何班かに分かれて</w:t>
            </w:r>
            <w:r w:rsidR="0088180E" w:rsidRPr="00013C5D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13C5D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013C5D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013C5D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14:paraId="5A325400" w14:textId="7777777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14:paraId="7C2347F5" w14:textId="77777777"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14:paraId="708C8760" w14:textId="77777777"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14:paraId="7B0B7F3E" w14:textId="7777777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14:paraId="57CD7404" w14:textId="77777777"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FE8AC7E" w14:textId="77777777"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14:paraId="1C2E6552" w14:textId="77777777"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14:paraId="3AF1C4E5" w14:textId="77777777"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Pr="00063397">
              <w:rPr>
                <w:rFonts w:asciiTheme="minorEastAsia" w:eastAsiaTheme="minorEastAsia" w:hAnsiTheme="minorEastAsia" w:hint="eastAsia"/>
              </w:rPr>
              <w:t>10,000円、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14:paraId="681B5151" w14:textId="77777777" w:rsidR="00A1143B" w:rsidRPr="00063397" w:rsidRDefault="00A1143B" w:rsidP="0035795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試験団体の公認テキストを購入する、1</w:t>
            </w:r>
            <w:r w:rsidR="00DE2C31">
              <w:rPr>
                <w:rFonts w:asciiTheme="minorEastAsia" w:eastAsiaTheme="minorEastAsia" w:hAnsiTheme="minorEastAsia" w:hint="eastAsia"/>
              </w:rPr>
              <w:t>冊</w:t>
            </w:r>
            <w:r w:rsidRPr="00063397">
              <w:rPr>
                <w:rFonts w:asciiTheme="minorEastAsia" w:eastAsiaTheme="minorEastAsia" w:hAnsiTheme="minorEastAsia" w:hint="eastAsia"/>
              </w:rPr>
              <w:t>2,</w:t>
            </w:r>
            <w:r w:rsidR="00BB640C">
              <w:rPr>
                <w:rFonts w:asciiTheme="minorEastAsia" w:eastAsiaTheme="minorEastAsia" w:hAnsiTheme="minorEastAsia" w:hint="eastAsia"/>
              </w:rPr>
              <w:t>0</w:t>
            </w:r>
            <w:r w:rsidRPr="00063397">
              <w:rPr>
                <w:rFonts w:asciiTheme="minorEastAsia" w:eastAsiaTheme="minorEastAsia" w:hAnsiTheme="minorEastAsia" w:hint="eastAsia"/>
              </w:rPr>
              <w:t>00円。実物形式過去問題</w:t>
            </w:r>
            <w:r w:rsidR="0035795B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14:paraId="09560177" w14:textId="7777777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14:paraId="031D602B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18FF01CD" w14:textId="77777777"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09F4E773" w14:textId="77777777"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14:paraId="135FE652" w14:textId="73FE0A67" w:rsidR="00EA4E6D" w:rsidRPr="00F90FF3" w:rsidRDefault="00F90FF3" w:rsidP="00F90FF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90FF3">
              <w:rPr>
                <w:rFonts w:asciiTheme="minorEastAsia" w:eastAsiaTheme="minorEastAsia" w:hAnsiTheme="minorEastAsia" w:hint="eastAsia"/>
              </w:rPr>
              <w:t>ワークライフ・コーディネーター認定試験</w:t>
            </w:r>
            <w:r w:rsidR="00EA4E6D" w:rsidRPr="00F90FF3">
              <w:rPr>
                <w:rFonts w:asciiTheme="minorEastAsia" w:eastAsiaTheme="minorEastAsia" w:hAnsiTheme="minorEastAsia" w:hint="eastAsia"/>
              </w:rPr>
              <w:t>の開催団体</w:t>
            </w:r>
            <w:r w:rsidR="00BD4573" w:rsidRPr="00F90FF3">
              <w:rPr>
                <w:rFonts w:asciiTheme="minorEastAsia" w:eastAsiaTheme="minorEastAsia" w:hAnsiTheme="minorEastAsia" w:hint="eastAsia"/>
              </w:rPr>
              <w:t>の経歴など</w:t>
            </w:r>
          </w:p>
          <w:p w14:paraId="61138C76" w14:textId="5616A93E" w:rsidR="00EA4E6D" w:rsidRPr="00F90FF3" w:rsidRDefault="00F90FF3" w:rsidP="00F90FF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90FF3">
              <w:rPr>
                <w:rFonts w:asciiTheme="minorEastAsia" w:eastAsiaTheme="minorEastAsia" w:hAnsiTheme="minorEastAsia" w:hint="eastAsia"/>
              </w:rPr>
              <w:t>ワークライフ・コーディネーター認定試験</w:t>
            </w:r>
            <w:r w:rsidR="00EA4E6D" w:rsidRPr="00F90FF3">
              <w:rPr>
                <w:rFonts w:asciiTheme="minorEastAsia" w:eastAsiaTheme="minorEastAsia" w:hAnsiTheme="minorEastAsia" w:hint="eastAsia"/>
              </w:rPr>
              <w:t>認定試験の試験内容、合格者</w:t>
            </w:r>
            <w:r w:rsidR="00BD4573" w:rsidRPr="00F90FF3">
              <w:rPr>
                <w:rFonts w:asciiTheme="minorEastAsia" w:eastAsiaTheme="minorEastAsia" w:hAnsiTheme="minorEastAsia" w:hint="eastAsia"/>
              </w:rPr>
              <w:t>率などの</w:t>
            </w:r>
            <w:r w:rsidR="00EA4E6D" w:rsidRPr="00F90FF3">
              <w:rPr>
                <w:rFonts w:asciiTheme="minorEastAsia" w:eastAsiaTheme="minorEastAsia" w:hAnsiTheme="minorEastAsia" w:hint="eastAsia"/>
              </w:rPr>
              <w:t>データ</w:t>
            </w:r>
          </w:p>
          <w:p w14:paraId="46007F4E" w14:textId="3E67955A" w:rsidR="00EA4E6D" w:rsidRPr="00F90FF3" w:rsidRDefault="00F90FF3" w:rsidP="00F90FF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90FF3">
              <w:rPr>
                <w:rFonts w:asciiTheme="minorEastAsia" w:eastAsiaTheme="minorEastAsia" w:hAnsiTheme="minorEastAsia" w:hint="eastAsia"/>
              </w:rPr>
              <w:t>ワークライフ・コーディネーター認定試験</w:t>
            </w:r>
            <w:r w:rsidR="00EA4E6D" w:rsidRPr="00F90FF3">
              <w:rPr>
                <w:rFonts w:asciiTheme="minorEastAsia" w:eastAsiaTheme="minorEastAsia" w:hAnsiTheme="minorEastAsia" w:hint="eastAsia"/>
              </w:rPr>
              <w:t>認定試験の募集チラシ</w:t>
            </w:r>
          </w:p>
          <w:p w14:paraId="1C20B784" w14:textId="26D971C4" w:rsidR="00EA4E6D" w:rsidRPr="00F90FF3" w:rsidRDefault="00F90FF3" w:rsidP="00F90FF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90FF3">
              <w:rPr>
                <w:rFonts w:asciiTheme="minorEastAsia" w:eastAsiaTheme="minorEastAsia" w:hAnsiTheme="minorEastAsia" w:hint="eastAsia"/>
              </w:rPr>
              <w:t>ワークライフ・コーディネーター認定試験</w:t>
            </w:r>
            <w:r w:rsidR="00EA4E6D" w:rsidRPr="00F90FF3">
              <w:rPr>
                <w:rFonts w:asciiTheme="minorEastAsia" w:eastAsiaTheme="minorEastAsia" w:hAnsiTheme="minorEastAsia" w:hint="eastAsia"/>
              </w:rPr>
              <w:t>認定試験の問題</w:t>
            </w:r>
            <w:r w:rsidR="00BD4573" w:rsidRPr="00F90FF3">
              <w:rPr>
                <w:rFonts w:asciiTheme="minorEastAsia" w:eastAsiaTheme="minorEastAsia" w:hAnsiTheme="minorEastAsia" w:hint="eastAsia"/>
              </w:rPr>
              <w:t>サンプル</w:t>
            </w:r>
          </w:p>
          <w:p w14:paraId="2E2D172D" w14:textId="77777777"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14:paraId="12DED31F" w14:textId="77777777"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14:paraId="7D10D541" w14:textId="7777777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14:paraId="4382E45C" w14:textId="77777777"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14:paraId="0F7F64C2" w14:textId="77777777"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14:paraId="254916F5" w14:textId="77777777" w:rsidR="00A1143B" w:rsidRPr="00063397" w:rsidRDefault="009553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0027C7D" w14:textId="77777777"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14:paraId="7A6E85D2" w14:textId="77777777"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14:paraId="7595834D" w14:textId="7777777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14:paraId="09D21215" w14:textId="77777777"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14:paraId="5B0C5FA8" w14:textId="77777777"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14:paraId="04BE9A6F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14:paraId="1F37451B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14:paraId="2662D9CD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14:paraId="394A61C5" w14:textId="77777777"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14:paraId="03A37D80" w14:textId="7777777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14:paraId="03DB1EC8" w14:textId="77777777"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14:paraId="0838913D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14:paraId="7D287592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14336CE2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13E4E3E9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14:paraId="4F0811E6" w14:textId="77777777"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123BEB" w14:textId="77777777"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074BE8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A363E" w14:textId="77777777" w:rsidR="00FF31F2" w:rsidRDefault="00FF31F2" w:rsidP="00D87881">
      <w:r>
        <w:separator/>
      </w:r>
    </w:p>
  </w:endnote>
  <w:endnote w:type="continuationSeparator" w:id="0">
    <w:p w14:paraId="2689F4F0" w14:textId="77777777" w:rsidR="00FF31F2" w:rsidRDefault="00FF31F2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F38B3" w14:textId="77777777" w:rsidR="00FF31F2" w:rsidRDefault="00FF31F2" w:rsidP="00D87881">
      <w:r>
        <w:separator/>
      </w:r>
    </w:p>
  </w:footnote>
  <w:footnote w:type="continuationSeparator" w:id="0">
    <w:p w14:paraId="64168007" w14:textId="77777777" w:rsidR="00FF31F2" w:rsidRDefault="00FF31F2" w:rsidP="00D8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5FF0"/>
    <w:multiLevelType w:val="hybridMultilevel"/>
    <w:tmpl w:val="A8C2CE78"/>
    <w:lvl w:ilvl="0" w:tplc="AB38188A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40"/>
      </w:pPr>
    </w:lvl>
    <w:lvl w:ilvl="3" w:tplc="0409000F" w:tentative="1">
      <w:start w:val="1"/>
      <w:numFmt w:val="decimal"/>
      <w:lvlText w:val="%4."/>
      <w:lvlJc w:val="left"/>
      <w:pPr>
        <w:ind w:left="1766" w:hanging="440"/>
      </w:pPr>
    </w:lvl>
    <w:lvl w:ilvl="4" w:tplc="04090017" w:tentative="1">
      <w:start w:val="1"/>
      <w:numFmt w:val="aiueoFullWidth"/>
      <w:lvlText w:val="(%5)"/>
      <w:lvlJc w:val="left"/>
      <w:pPr>
        <w:ind w:left="22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40"/>
      </w:pPr>
    </w:lvl>
    <w:lvl w:ilvl="6" w:tplc="0409000F" w:tentative="1">
      <w:start w:val="1"/>
      <w:numFmt w:val="decimal"/>
      <w:lvlText w:val="%7."/>
      <w:lvlJc w:val="left"/>
      <w:pPr>
        <w:ind w:left="3086" w:hanging="440"/>
      </w:pPr>
    </w:lvl>
    <w:lvl w:ilvl="7" w:tplc="04090017" w:tentative="1">
      <w:start w:val="1"/>
      <w:numFmt w:val="aiueoFullWidth"/>
      <w:lvlText w:val="(%8)"/>
      <w:lvlJc w:val="left"/>
      <w:pPr>
        <w:ind w:left="352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40"/>
      </w:pPr>
    </w:lvl>
  </w:abstractNum>
  <w:num w:numId="1" w16cid:durableId="203229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0A5"/>
    <w:rsid w:val="00002128"/>
    <w:rsid w:val="00013C5D"/>
    <w:rsid w:val="00050BCB"/>
    <w:rsid w:val="00063397"/>
    <w:rsid w:val="00074BE8"/>
    <w:rsid w:val="000C5D7B"/>
    <w:rsid w:val="00117347"/>
    <w:rsid w:val="00186348"/>
    <w:rsid w:val="001D6AF8"/>
    <w:rsid w:val="001F281B"/>
    <w:rsid w:val="00215248"/>
    <w:rsid w:val="002673F0"/>
    <w:rsid w:val="002712BF"/>
    <w:rsid w:val="002D757A"/>
    <w:rsid w:val="00341702"/>
    <w:rsid w:val="0035795B"/>
    <w:rsid w:val="0042391C"/>
    <w:rsid w:val="0042519E"/>
    <w:rsid w:val="004B00A5"/>
    <w:rsid w:val="005172A3"/>
    <w:rsid w:val="00523B36"/>
    <w:rsid w:val="00554FD9"/>
    <w:rsid w:val="005E57B6"/>
    <w:rsid w:val="00613419"/>
    <w:rsid w:val="00636625"/>
    <w:rsid w:val="006A7154"/>
    <w:rsid w:val="006D7FC9"/>
    <w:rsid w:val="006F3DED"/>
    <w:rsid w:val="00702FB3"/>
    <w:rsid w:val="00777A76"/>
    <w:rsid w:val="00782E37"/>
    <w:rsid w:val="007E254A"/>
    <w:rsid w:val="00850B08"/>
    <w:rsid w:val="0088180E"/>
    <w:rsid w:val="008A3172"/>
    <w:rsid w:val="008B5B14"/>
    <w:rsid w:val="00952A4B"/>
    <w:rsid w:val="00952FA4"/>
    <w:rsid w:val="009553F0"/>
    <w:rsid w:val="009652FE"/>
    <w:rsid w:val="009936B8"/>
    <w:rsid w:val="009B442F"/>
    <w:rsid w:val="00A04286"/>
    <w:rsid w:val="00A1143B"/>
    <w:rsid w:val="00A90312"/>
    <w:rsid w:val="00AC4910"/>
    <w:rsid w:val="00B11815"/>
    <w:rsid w:val="00B5143E"/>
    <w:rsid w:val="00B9345A"/>
    <w:rsid w:val="00BB640C"/>
    <w:rsid w:val="00BD1A75"/>
    <w:rsid w:val="00BD4573"/>
    <w:rsid w:val="00C25DAE"/>
    <w:rsid w:val="00C702ED"/>
    <w:rsid w:val="00C9326F"/>
    <w:rsid w:val="00CB5D4E"/>
    <w:rsid w:val="00CC014A"/>
    <w:rsid w:val="00CC34F6"/>
    <w:rsid w:val="00CD107C"/>
    <w:rsid w:val="00CE7F0C"/>
    <w:rsid w:val="00D4443B"/>
    <w:rsid w:val="00D86587"/>
    <w:rsid w:val="00D87881"/>
    <w:rsid w:val="00DE2C31"/>
    <w:rsid w:val="00E95AE3"/>
    <w:rsid w:val="00EA3F28"/>
    <w:rsid w:val="00EA4E6D"/>
    <w:rsid w:val="00EC4A45"/>
    <w:rsid w:val="00F25545"/>
    <w:rsid w:val="00F328D4"/>
    <w:rsid w:val="00F64DE9"/>
    <w:rsid w:val="00F90648"/>
    <w:rsid w:val="00F90FF3"/>
    <w:rsid w:val="00F955B1"/>
    <w:rsid w:val="00FE1EC1"/>
    <w:rsid w:val="00FF2508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1CD25"/>
  <w15:docId w15:val="{FD69837D-E34E-42C8-BF72-05CC00A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90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JAGAT007</cp:lastModifiedBy>
  <cp:revision>4</cp:revision>
  <cp:lastPrinted>2018-07-12T03:28:00Z</cp:lastPrinted>
  <dcterms:created xsi:type="dcterms:W3CDTF">2018-07-13T06:50:00Z</dcterms:created>
  <dcterms:modified xsi:type="dcterms:W3CDTF">2025-05-01T06:55:00Z</dcterms:modified>
</cp:coreProperties>
</file>